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AD" w:rsidRDefault="00A259AD" w:rsidP="00A259AD">
      <w:pPr>
        <w:pStyle w:val="Heading1"/>
      </w:pPr>
      <w:r>
        <w:t xml:space="preserve">Tynes Bay Waste to Energy Facility: </w:t>
      </w:r>
    </w:p>
    <w:p w:rsidR="00EC7E78" w:rsidRDefault="00A259AD" w:rsidP="00A259AD">
      <w:pPr>
        <w:pStyle w:val="Heading1"/>
      </w:pPr>
      <w:r>
        <w:t>Sea Water Screening System Technical Specifications</w:t>
      </w:r>
    </w:p>
    <w:p w:rsidR="00A259AD" w:rsidRDefault="00A259AD" w:rsidP="00A259AD"/>
    <w:p w:rsidR="007459E0" w:rsidRPr="007459E0" w:rsidRDefault="007459E0" w:rsidP="007459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</w:rPr>
      </w:pPr>
      <w:r w:rsidRPr="007459E0">
        <w:rPr>
          <w:rFonts w:eastAsia="Times New Roman" w:cstheme="minorHAnsi"/>
          <w:color w:val="000000"/>
          <w:sz w:val="21"/>
          <w:szCs w:val="21"/>
        </w:rPr>
        <w:t>The Respondent shall be responsible for the supply, installation and delivery of a fully functional sea water screening system which meets the below technical specifications.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59E0" w:rsidTr="009C46A1">
        <w:tc>
          <w:tcPr>
            <w:tcW w:w="4675" w:type="dxa"/>
          </w:tcPr>
          <w:p w:rsidR="007459E0" w:rsidRPr="007459E0" w:rsidRDefault="007459E0" w:rsidP="007459E0">
            <w:pPr>
              <w:jc w:val="both"/>
              <w:rPr>
                <w:b/>
              </w:rPr>
            </w:pPr>
            <w:r w:rsidRPr="007459E0">
              <w:rPr>
                <w:b/>
              </w:rPr>
              <w:t>Metric</w:t>
            </w:r>
          </w:p>
        </w:tc>
        <w:tc>
          <w:tcPr>
            <w:tcW w:w="4675" w:type="dxa"/>
          </w:tcPr>
          <w:p w:rsidR="007459E0" w:rsidRPr="007459E0" w:rsidRDefault="007459E0" w:rsidP="007459E0">
            <w:pPr>
              <w:jc w:val="both"/>
              <w:rPr>
                <w:b/>
              </w:rPr>
            </w:pPr>
            <w:r>
              <w:rPr>
                <w:b/>
              </w:rPr>
              <w:t>Specification</w:t>
            </w:r>
          </w:p>
        </w:tc>
      </w:tr>
      <w:tr w:rsidR="007459E0" w:rsidTr="009C46A1">
        <w:tc>
          <w:tcPr>
            <w:tcW w:w="4675" w:type="dxa"/>
          </w:tcPr>
          <w:p w:rsidR="007459E0" w:rsidRDefault="007459E0" w:rsidP="007459E0">
            <w:pPr>
              <w:jc w:val="both"/>
            </w:pPr>
            <w:r>
              <w:t>Screening System Type</w:t>
            </w:r>
          </w:p>
        </w:tc>
        <w:tc>
          <w:tcPr>
            <w:tcW w:w="4675" w:type="dxa"/>
          </w:tcPr>
          <w:p w:rsidR="007459E0" w:rsidRDefault="007459E0" w:rsidP="007459E0">
            <w:pPr>
              <w:jc w:val="both"/>
            </w:pPr>
            <w:r>
              <w:t>Travelling Band Screen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Water Being Screened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Sea Water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Maximum Flow Rate per Travelling Screen</w:t>
            </w:r>
          </w:p>
        </w:tc>
        <w:tc>
          <w:tcPr>
            <w:tcW w:w="4675" w:type="dxa"/>
          </w:tcPr>
          <w:p w:rsidR="00A259AD" w:rsidRPr="00E52594" w:rsidRDefault="00A259AD" w:rsidP="009C46A1">
            <w:pPr>
              <w:jc w:val="both"/>
            </w:pPr>
            <w:r>
              <w:t>2000 m</w:t>
            </w:r>
            <w:r>
              <w:rPr>
                <w:vertAlign w:val="superscript"/>
              </w:rPr>
              <w:t xml:space="preserve">3 </w:t>
            </w:r>
            <w:r>
              <w:t>per hour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Number of screens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2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Deck Level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+2.5m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High Water Level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0.86m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Low Water Level ahead of screens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0.67m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Power Supply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240V AC 60Hz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Channel Depth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6.25m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Channel Width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2.0m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Type of Screen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Central / Dual Flow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Operation Type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Continuous (level controlled), Manual (operator controlled)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 xml:space="preserve">Exposed Metal Material </w:t>
            </w:r>
          </w:p>
        </w:tc>
        <w:tc>
          <w:tcPr>
            <w:tcW w:w="4675" w:type="dxa"/>
          </w:tcPr>
          <w:p w:rsidR="00A259AD" w:rsidRDefault="00522ADF" w:rsidP="009C46A1">
            <w:pPr>
              <w:jc w:val="both"/>
            </w:pPr>
            <w:r>
              <w:t xml:space="preserve">Super </w:t>
            </w:r>
            <w:r w:rsidR="00A259AD">
              <w:t>Duplex Stainless Steel</w:t>
            </w:r>
            <w:r w:rsidR="00AC1396">
              <w:t xml:space="preserve"> (Material Certificates must be provided)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Ambient Temperature Range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Min: 15</w:t>
            </w:r>
            <w:r>
              <w:rPr>
                <w:rFonts w:cstheme="minorHAnsi"/>
              </w:rPr>
              <w:t>°</w:t>
            </w:r>
            <w:r>
              <w:t>C, Max 40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Ambient Humidity Range</w:t>
            </w:r>
          </w:p>
        </w:tc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70-90%</w:t>
            </w:r>
          </w:p>
        </w:tc>
      </w:tr>
      <w:tr w:rsidR="00A259AD" w:rsidTr="009C46A1">
        <w:tc>
          <w:tcPr>
            <w:tcW w:w="4675" w:type="dxa"/>
          </w:tcPr>
          <w:p w:rsidR="00A259AD" w:rsidRDefault="00A259AD" w:rsidP="009C46A1">
            <w:pPr>
              <w:jc w:val="both"/>
            </w:pPr>
            <w:r>
              <w:t>Special Considerations</w:t>
            </w:r>
          </w:p>
        </w:tc>
        <w:tc>
          <w:tcPr>
            <w:tcW w:w="4675" w:type="dxa"/>
          </w:tcPr>
          <w:p w:rsidR="00A259AD" w:rsidRDefault="00A259AD" w:rsidP="00A259AD">
            <w:pPr>
              <w:jc w:val="both"/>
            </w:pPr>
            <w:r>
              <w:t>Limited wind protection, thus equipment will be exposed to significant salt spray</w:t>
            </w:r>
          </w:p>
        </w:tc>
      </w:tr>
      <w:tr w:rsidR="007459E0" w:rsidTr="007459E0">
        <w:trPr>
          <w:trHeight w:val="170"/>
        </w:trPr>
        <w:tc>
          <w:tcPr>
            <w:tcW w:w="4675" w:type="dxa"/>
          </w:tcPr>
          <w:p w:rsidR="007459E0" w:rsidRPr="005124F0" w:rsidRDefault="007459E0" w:rsidP="007459E0">
            <w:r w:rsidRPr="005124F0">
              <w:t>Exposed Metal Material</w:t>
            </w:r>
          </w:p>
        </w:tc>
        <w:tc>
          <w:tcPr>
            <w:tcW w:w="4675" w:type="dxa"/>
          </w:tcPr>
          <w:p w:rsidR="007459E0" w:rsidRDefault="007459E0" w:rsidP="007459E0">
            <w:r w:rsidRPr="005124F0">
              <w:t>Super Duplex Stainless Steel</w:t>
            </w:r>
          </w:p>
        </w:tc>
      </w:tr>
    </w:tbl>
    <w:p w:rsidR="007459E0" w:rsidRPr="007459E0" w:rsidRDefault="007459E0" w:rsidP="007459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7459E0" w:rsidRPr="007459E0" w:rsidRDefault="007459E0" w:rsidP="007459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</w:rPr>
      </w:pPr>
      <w:r w:rsidRPr="007459E0">
        <w:rPr>
          <w:rFonts w:eastAsia="Times New Roman" w:cstheme="minorHAnsi"/>
          <w:color w:val="000000"/>
          <w:sz w:val="21"/>
          <w:szCs w:val="21"/>
        </w:rPr>
        <w:t>The screening system and ancillaries shall be purchased as a unit from the selected supplier. Any components / equipment required to support installation and commissioning of the screening system (cable, cable trays, etc.) shall meet the material requirements specified in this contract and material disclosures requirements.</w:t>
      </w:r>
    </w:p>
    <w:p w:rsidR="007459E0" w:rsidRPr="007459E0" w:rsidRDefault="007459E0" w:rsidP="007459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</w:rPr>
      </w:pPr>
      <w:r w:rsidRPr="007459E0">
        <w:rPr>
          <w:rFonts w:eastAsia="Times New Roman" w:cstheme="minorHAnsi"/>
          <w:color w:val="000000"/>
          <w:sz w:val="21"/>
          <w:szCs w:val="21"/>
        </w:rPr>
        <w:t>Any deviations to the requirements listed above must be disclosed to the Buyer and agreed prior to purchase and delivery.</w:t>
      </w:r>
    </w:p>
    <w:p w:rsidR="007459E0" w:rsidRPr="00A259AD" w:rsidRDefault="007459E0" w:rsidP="00A259AD">
      <w:bookmarkStart w:id="0" w:name="_GoBack"/>
      <w:bookmarkEnd w:id="0"/>
    </w:p>
    <w:sectPr w:rsidR="007459E0" w:rsidRPr="00A2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AD"/>
    <w:rsid w:val="004510F7"/>
    <w:rsid w:val="00522ADF"/>
    <w:rsid w:val="006F73D7"/>
    <w:rsid w:val="007459E0"/>
    <w:rsid w:val="00A259AD"/>
    <w:rsid w:val="00A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5016F-48E5-4590-AD47-1C7568F5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9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2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5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Crockwell, Sean K.</dc:creator>
  <cp:keywords/>
  <dc:description/>
  <cp:lastModifiedBy>Crockwell, Sean K.</cp:lastModifiedBy>
  <cp:revision>4</cp:revision>
  <dcterms:created xsi:type="dcterms:W3CDTF">2022-09-12T14:46:00Z</dcterms:created>
  <dcterms:modified xsi:type="dcterms:W3CDTF">2023-01-17T14:28:00Z</dcterms:modified>
</cp:coreProperties>
</file>